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B7" w:rsidRDefault="006727B7" w:rsidP="006727B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p w:rsidR="006727B7" w:rsidRDefault="006727B7" w:rsidP="006727B7">
      <w:pPr>
        <w:ind w:left="720"/>
        <w:rPr>
          <w:b/>
          <w:sz w:val="24"/>
          <w:szCs w:val="24"/>
        </w:rPr>
      </w:pP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2691"/>
        <w:gridCol w:w="1275"/>
        <w:gridCol w:w="1275"/>
        <w:gridCol w:w="992"/>
        <w:gridCol w:w="911"/>
        <w:gridCol w:w="850"/>
        <w:gridCol w:w="992"/>
        <w:gridCol w:w="709"/>
        <w:gridCol w:w="851"/>
        <w:gridCol w:w="850"/>
        <w:gridCol w:w="992"/>
        <w:gridCol w:w="1134"/>
        <w:gridCol w:w="1462"/>
        <w:gridCol w:w="22"/>
      </w:tblGrid>
      <w:tr w:rsidR="006727B7" w:rsidTr="001D082B">
        <w:trPr>
          <w:gridAfter w:val="1"/>
          <w:wAfter w:w="22" w:type="dxa"/>
          <w:trHeight w:val="72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6727B7" w:rsidTr="00FF4B5C">
        <w:trPr>
          <w:gridAfter w:val="1"/>
          <w:wAfter w:w="22" w:type="dxa"/>
          <w:trHeight w:val="72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</w:tr>
      <w:tr w:rsidR="006727B7" w:rsidTr="00FF4B5C">
        <w:trPr>
          <w:gridAfter w:val="1"/>
          <w:wAfter w:w="22" w:type="dxa"/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727B7" w:rsidTr="001D082B">
        <w:trPr>
          <w:gridAfter w:val="1"/>
          <w:wAfter w:w="22" w:type="dxa"/>
          <w:trHeight w:val="72"/>
          <w:jc w:val="center"/>
        </w:trPr>
        <w:tc>
          <w:tcPr>
            <w:tcW w:w="155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8"/>
                <w:szCs w:val="28"/>
              </w:rPr>
              <w:t xml:space="preserve">    Увеличение доли граждан, систематически занимающихся физической культурой и спортом </w:t>
            </w:r>
            <w:r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6727B7" w:rsidTr="001D082B">
        <w:trPr>
          <w:gridAfter w:val="1"/>
          <w:wAfter w:w="22" w:type="dxa"/>
          <w:trHeight w:val="72"/>
          <w:jc w:val="center"/>
        </w:trPr>
        <w:tc>
          <w:tcPr>
            <w:tcW w:w="155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 Методическое и информационное обеспечение программы</w:t>
            </w:r>
          </w:p>
        </w:tc>
      </w:tr>
      <w:tr w:rsidR="006727B7" w:rsidTr="001D082B">
        <w:trPr>
          <w:gridAfter w:val="1"/>
          <w:wAfter w:w="22" w:type="dxa"/>
          <w:trHeight w:val="72"/>
          <w:jc w:val="center"/>
        </w:trPr>
        <w:tc>
          <w:tcPr>
            <w:tcW w:w="155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6727B7" w:rsidTr="00FF4B5C">
        <w:trPr>
          <w:gridAfter w:val="1"/>
          <w:wAfter w:w="22" w:type="dxa"/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Pr="00CA6621" w:rsidRDefault="006727B7">
            <w:pPr>
              <w:pStyle w:val="a3"/>
              <w:jc w:val="center"/>
              <w:rPr>
                <w:sz w:val="16"/>
                <w:szCs w:val="16"/>
              </w:rPr>
            </w:pPr>
            <w:r w:rsidRPr="00CA6621">
              <w:rPr>
                <w:sz w:val="16"/>
                <w:szCs w:val="16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спортом,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6727B7" w:rsidTr="00FF4B5C">
        <w:trPr>
          <w:gridAfter w:val="1"/>
          <w:wAfter w:w="22" w:type="dxa"/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Информирование население о проводимых  спортивно-массовых мероприятий привело к  увеличению доли населения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,</w:t>
            </w:r>
            <w:proofErr w:type="gramEnd"/>
            <w:r>
              <w:rPr>
                <w:sz w:val="16"/>
                <w:szCs w:val="16"/>
              </w:rPr>
              <w:t>регулярно</w:t>
            </w:r>
          </w:p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занимающегося</w:t>
            </w:r>
            <w:proofErr w:type="gramEnd"/>
            <w:r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6727B7" w:rsidTr="001D082B">
        <w:trPr>
          <w:gridAfter w:val="1"/>
          <w:wAfter w:w="22" w:type="dxa"/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9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1D082B" w:rsidTr="00FF4B5C">
        <w:trPr>
          <w:trHeight w:val="1874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спортивного инвентаря и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1 334,0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</w:pPr>
            <w:r>
              <w:t>1 907,0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1D082B" w:rsidTr="00FF4B5C">
        <w:trPr>
          <w:trHeight w:val="339"/>
          <w:jc w:val="center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  <w:r>
              <w:t>234,0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D082B" w:rsidTr="00FF4B5C">
        <w:trPr>
          <w:trHeight w:val="1440"/>
          <w:jc w:val="center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921CE" w:rsidP="001D082B">
            <w:pPr>
              <w:pStyle w:val="a3"/>
              <w:jc w:val="center"/>
            </w:pPr>
            <w:r>
              <w:t>1 100,0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FF4B5C">
        <w:trPr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450,0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6727B7" w:rsidTr="00FF4B5C">
        <w:trPr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</w:t>
            </w:r>
            <w:r>
              <w:rPr>
                <w:sz w:val="16"/>
                <w:szCs w:val="16"/>
              </w:rPr>
              <w:lastRenderedPageBreak/>
              <w:t>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Структурное подразделение ДЮСШ ГБОУ </w:t>
            </w:r>
            <w:r>
              <w:rPr>
                <w:sz w:val="16"/>
                <w:szCs w:val="16"/>
              </w:rPr>
              <w:lastRenderedPageBreak/>
              <w:t xml:space="preserve">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674,2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C20E09">
            <w:pPr>
              <w:pStyle w:val="a3"/>
              <w:jc w:val="center"/>
            </w:pPr>
            <w:r>
              <w:t>596,2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B32F0">
            <w:pPr>
              <w:pStyle w:val="a3"/>
              <w:jc w:val="center"/>
            </w:pPr>
            <w:r>
              <w:t>300,5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300,8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300,8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B32F0">
            <w:pPr>
              <w:pStyle w:val="a3"/>
              <w:jc w:val="center"/>
            </w:pPr>
            <w:r>
              <w:t>2 972,5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Увеличение количества проведенных </w:t>
            </w:r>
            <w:r>
              <w:rPr>
                <w:sz w:val="16"/>
                <w:szCs w:val="16"/>
              </w:rPr>
              <w:lastRenderedPageBreak/>
              <w:t>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FF4B5C">
        <w:trPr>
          <w:trHeight w:val="1825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CA6621">
            <w:pPr>
              <w:pStyle w:val="a3"/>
              <w:jc w:val="center"/>
            </w:pPr>
            <w:r>
              <w:t>534,8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CA6621">
            <w:pPr>
              <w:pStyle w:val="a3"/>
              <w:jc w:val="center"/>
            </w:pPr>
            <w:r>
              <w:t>3 034,8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FF4B5C">
        <w:trPr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8C7CCB">
            <w:pPr>
              <w:pStyle w:val="a3"/>
              <w:jc w:val="center"/>
            </w:pPr>
            <w:r>
              <w:t>0</w:t>
            </w:r>
            <w:r w:rsidR="001D082B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240,4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780,8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6727B7" w:rsidTr="00FF4B5C">
        <w:trPr>
          <w:trHeight w:val="7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выполнения функций инструкторов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1701,5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CA6621">
            <w:pPr>
              <w:pStyle w:val="a3"/>
              <w:jc w:val="center"/>
            </w:pPr>
            <w:r>
              <w:t>2</w:t>
            </w:r>
            <w:r w:rsidR="00C20E09">
              <w:t>54</w:t>
            </w:r>
            <w:r w:rsidR="00681BE3"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3358,5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3758,5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D082B">
            <w:pPr>
              <w:pStyle w:val="a3"/>
              <w:jc w:val="center"/>
            </w:pPr>
            <w:r>
              <w:t>3758,5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921CE">
            <w:pPr>
              <w:pStyle w:val="a3"/>
              <w:jc w:val="center"/>
            </w:pPr>
            <w:r>
              <w:t>18 240,4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улучшение </w:t>
            </w:r>
            <w:r>
              <w:rPr>
                <w:color w:val="000000"/>
                <w:sz w:val="16"/>
                <w:szCs w:val="16"/>
              </w:rPr>
              <w:lastRenderedPageBreak/>
              <w:t>состояния здоровья населения района, формирование здорового образа жизни, у</w:t>
            </w:r>
            <w:r>
              <w:rPr>
                <w:sz w:val="16"/>
                <w:szCs w:val="16"/>
              </w:rPr>
              <w:t xml:space="preserve">величение количества проведенных физкультурно – массовых мероприятий, </w:t>
            </w:r>
            <w:r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</w:t>
            </w:r>
            <w:proofErr w:type="gramEnd"/>
            <w:r>
              <w:rPr>
                <w:sz w:val="16"/>
                <w:szCs w:val="16"/>
              </w:rPr>
              <w:t xml:space="preserve">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</w:t>
            </w:r>
          </w:p>
        </w:tc>
      </w:tr>
      <w:tr w:rsidR="006727B7" w:rsidTr="001D082B">
        <w:trPr>
          <w:trHeight w:val="277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6727B7" w:rsidTr="00FF4B5C">
        <w:trPr>
          <w:trHeight w:val="1284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Проверка регистрации/регистрация участника на </w:t>
            </w:r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6727B7" w:rsidTr="00FF4B5C">
        <w:trPr>
          <w:trHeight w:val="1630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ГТО.</w:t>
            </w:r>
          </w:p>
        </w:tc>
      </w:tr>
      <w:tr w:rsidR="001D082B" w:rsidTr="00FF4B5C">
        <w:trPr>
          <w:trHeight w:val="1752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  <w:shd w:val="clear" w:color="auto" w:fill="FFFFFF"/>
              </w:rPr>
              <w:t>Строительство футбольного поля с размерами 60*90 м. в пос. Кинельский Кинельского района Самарской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«Управление строительства муниципального района Кинельский Самарской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0B32F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49 778,2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82B" w:rsidRDefault="000B32F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49 881,5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D082B" w:rsidTr="00FF4B5C">
        <w:trPr>
          <w:trHeight w:val="285"/>
          <w:jc w:val="center"/>
        </w:trPr>
        <w:tc>
          <w:tcPr>
            <w:tcW w:w="6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FF4B5C" w:rsidP="001D082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2 488,9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D082B" w:rsidTr="00FF4B5C">
        <w:trPr>
          <w:trHeight w:val="177"/>
          <w:jc w:val="center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FF4B5C" w:rsidP="001D082B">
            <w:pPr>
              <w:pStyle w:val="a3"/>
              <w:jc w:val="center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972B66" w:rsidP="001D082B">
            <w:pPr>
              <w:pStyle w:val="a3"/>
              <w:jc w:val="center"/>
              <w:rPr>
                <w:bCs/>
                <w:iCs/>
              </w:rPr>
            </w:pPr>
            <w:r w:rsidRPr="009D2398">
              <w:rPr>
                <w:bCs/>
                <w:iCs/>
              </w:rPr>
              <w:t>47 289,3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 w:rsidP="001D082B">
            <w:pPr>
              <w:pStyle w:val="a3"/>
              <w:jc w:val="center"/>
              <w:rPr>
                <w:bCs/>
                <w:iCs/>
              </w:rPr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2B" w:rsidRDefault="001D082B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FF4B5C">
        <w:trPr>
          <w:trHeight w:val="1535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Аренда спортивного зала для занятий вольной борьбой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1 600,0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FF4B5C">
        <w:trPr>
          <w:trHeight w:val="108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на участие в областных спортивных мероприятиях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71F2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192,0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FF4B5C">
        <w:trPr>
          <w:trHeight w:val="109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Услуги по организации и проведению спортивных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CA6621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1 235,4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727B7" w:rsidTr="001D082B">
        <w:trPr>
          <w:trHeight w:val="269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5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6727B7" w:rsidTr="00FF4B5C">
        <w:trPr>
          <w:trHeight w:val="461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 w:rsidP="00FF4B5C">
            <w:pPr>
              <w:pStyle w:val="a3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 w:rsidP="00FF4B5C">
            <w:pPr>
              <w:pStyle w:val="a3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FF4B5C">
            <w:pPr>
              <w:pStyle w:val="a3"/>
              <w:jc w:val="center"/>
            </w:pPr>
            <w:r>
              <w:t>300,0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 </w:t>
            </w:r>
            <w:r>
              <w:rPr>
                <w:sz w:val="16"/>
                <w:szCs w:val="16"/>
              </w:rPr>
              <w:t>с ограниченными возможностями здоровья, повышение доли инвалидов муниципального района, регулярно занимающихся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6727B7" w:rsidTr="00FF4B5C">
        <w:trPr>
          <w:trHeight w:val="753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Средства местного бюджета</w:t>
            </w:r>
          </w:p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3759,7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81BE3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4621,9</w:t>
            </w:r>
          </w:p>
          <w:p w:rsidR="006727B7" w:rsidRDefault="006727B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1921C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7401,2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921C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5312,3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921C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5312,3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1921CE">
            <w:pPr>
              <w:pStyle w:val="a3"/>
              <w:jc w:val="center"/>
              <w:rPr>
                <w:b/>
              </w:rPr>
            </w:pPr>
            <w:r w:rsidRPr="009D2398">
              <w:rPr>
                <w:b/>
              </w:rPr>
              <w:t>32 205,4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727B7" w:rsidTr="00FF4B5C">
        <w:trPr>
          <w:trHeight w:val="803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Средства областного бюджета</w:t>
            </w:r>
          </w:p>
          <w:p w:rsidR="006727B7" w:rsidRDefault="006727B7">
            <w:pPr>
              <w:pStyle w:val="a3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972B66">
            <w:pPr>
              <w:pStyle w:val="a3"/>
              <w:jc w:val="center"/>
              <w:rPr>
                <w:b/>
              </w:rPr>
            </w:pPr>
            <w:r w:rsidRPr="009D2398">
              <w:rPr>
                <w:b/>
              </w:rPr>
              <w:t>47289,3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  <w:p w:rsidR="006727B7" w:rsidRDefault="000B32F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48 389,3</w:t>
            </w: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color w:val="000000"/>
                <w:sz w:val="24"/>
                <w:szCs w:val="24"/>
              </w:rPr>
            </w:pPr>
          </w:p>
        </w:tc>
      </w:tr>
      <w:tr w:rsidR="006727B7" w:rsidTr="00FF4B5C">
        <w:trPr>
          <w:trHeight w:val="757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6727B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jc w:val="center"/>
              <w:rPr>
                <w:b/>
              </w:rPr>
            </w:pPr>
            <w:r>
              <w:rPr>
                <w:b/>
              </w:rPr>
              <w:t>4859,7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1F2" w:rsidRDefault="00681BE3" w:rsidP="00FF71F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4621,9</w:t>
            </w:r>
          </w:p>
          <w:p w:rsidR="006727B7" w:rsidRDefault="006727B7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B7" w:rsidRDefault="001921CE">
            <w:pPr>
              <w:pStyle w:val="a3"/>
              <w:jc w:val="center"/>
              <w:rPr>
                <w:b/>
              </w:rPr>
            </w:pPr>
            <w:r w:rsidRPr="009D2398">
              <w:rPr>
                <w:b/>
              </w:rPr>
              <w:t>54690,2</w:t>
            </w:r>
          </w:p>
          <w:p w:rsidR="006727B7" w:rsidRDefault="006727B7">
            <w:pPr>
              <w:pStyle w:val="a3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 w:rsidP="001921CE">
            <w:pPr>
              <w:pStyle w:val="a3"/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ab/>
            </w:r>
            <w:r w:rsidR="001921CE">
              <w:rPr>
                <w:b/>
              </w:rPr>
              <w:t>5312,3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0B32F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5312,3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6727B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B7" w:rsidRDefault="001921CE">
            <w:pPr>
              <w:pStyle w:val="a3"/>
              <w:jc w:val="center"/>
              <w:rPr>
                <w:b/>
              </w:rPr>
            </w:pPr>
            <w:r w:rsidRPr="009D2398">
              <w:rPr>
                <w:b/>
              </w:rPr>
              <w:t>80 594,4</w:t>
            </w:r>
          </w:p>
        </w:tc>
        <w:tc>
          <w:tcPr>
            <w:tcW w:w="1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B7" w:rsidRDefault="006727B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727B7" w:rsidRDefault="006727B7" w:rsidP="006727B7">
      <w:pPr>
        <w:rPr>
          <w:vanish/>
        </w:rPr>
      </w:pPr>
    </w:p>
    <w:p w:rsidR="006727B7" w:rsidRDefault="006727B7" w:rsidP="006727B7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6727B7" w:rsidRDefault="006727B7" w:rsidP="006727B7"/>
    <w:p w:rsidR="006727B7" w:rsidRDefault="006727B7" w:rsidP="006727B7">
      <w:pPr>
        <w:shd w:val="clear" w:color="auto" w:fill="FFFFFF"/>
        <w:tabs>
          <w:tab w:val="center" w:pos="7285"/>
          <w:tab w:val="left" w:pos="12600"/>
        </w:tabs>
        <w:spacing w:line="374" w:lineRule="atLeast"/>
        <w:jc w:val="center"/>
        <w:textAlignment w:val="baseline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D2653F" w:rsidRPr="006727B7" w:rsidRDefault="00D2653F" w:rsidP="006727B7"/>
    <w:sectPr w:rsidR="00D2653F" w:rsidRPr="006727B7" w:rsidSect="00561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1AF1"/>
    <w:rsid w:val="000B32F0"/>
    <w:rsid w:val="001921CE"/>
    <w:rsid w:val="001D082B"/>
    <w:rsid w:val="00264FDC"/>
    <w:rsid w:val="004505E5"/>
    <w:rsid w:val="0045483E"/>
    <w:rsid w:val="00547DAD"/>
    <w:rsid w:val="00561AF1"/>
    <w:rsid w:val="006727B7"/>
    <w:rsid w:val="00681BE3"/>
    <w:rsid w:val="008144E1"/>
    <w:rsid w:val="00842740"/>
    <w:rsid w:val="008C7CCB"/>
    <w:rsid w:val="0090606F"/>
    <w:rsid w:val="00972B66"/>
    <w:rsid w:val="009D2398"/>
    <w:rsid w:val="009E6657"/>
    <w:rsid w:val="00B367B5"/>
    <w:rsid w:val="00BC621D"/>
    <w:rsid w:val="00C20E09"/>
    <w:rsid w:val="00C61617"/>
    <w:rsid w:val="00C95204"/>
    <w:rsid w:val="00CA6621"/>
    <w:rsid w:val="00CE6EC3"/>
    <w:rsid w:val="00CF2F3B"/>
    <w:rsid w:val="00D2653F"/>
    <w:rsid w:val="00DA72E4"/>
    <w:rsid w:val="00DD45BA"/>
    <w:rsid w:val="00E0380B"/>
    <w:rsid w:val="00F84E23"/>
    <w:rsid w:val="00FF4B5C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200FA-0B54-4D57-B514-5A95E46C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27</cp:revision>
  <cp:lastPrinted>2025-12-29T10:49:00Z</cp:lastPrinted>
  <dcterms:created xsi:type="dcterms:W3CDTF">2025-02-06T04:43:00Z</dcterms:created>
  <dcterms:modified xsi:type="dcterms:W3CDTF">2025-12-29T10:50:00Z</dcterms:modified>
</cp:coreProperties>
</file>